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о-поверке-ипу-с-1-января-2021"/>
    <w:p>
      <w:pPr>
        <w:pStyle w:val="Heading3"/>
      </w:pPr>
      <w:r>
        <w:t xml:space="preserve">О поверке ИПУ с 1 января 2021</w:t>
      </w:r>
    </w:p>
    <w:p>
      <w:pPr>
        <w:pStyle w:val="FirstParagraph"/>
      </w:pPr>
      <w:r>
        <w:t xml:space="preserve">26.11.2020</w:t>
      </w:r>
    </w:p>
    <w:p>
      <w:pPr>
        <w:pStyle w:val="BodyText"/>
      </w:pPr>
      <w:r>
        <w:t xml:space="preserve">Напоминаем, что процедура поверки водосчётчиков была приостановлена до 1 января 2021 года согласно</w:t>
      </w:r>
      <w:r>
        <w:t xml:space="preserve"> </w:t>
      </w:r>
      <w:hyperlink r:id="rId20">
        <w:r>
          <w:rPr>
            <w:rStyle w:val="Hyperlink"/>
          </w:rPr>
          <w:t xml:space="preserve">Постановлению Правительства от 02.04.2020 №424</w:t>
        </w:r>
      </w:hyperlink>
      <w:r>
        <w:t xml:space="preserve">.</w:t>
      </w:r>
    </w:p>
    <w:p>
      <w:pPr>
        <w:pStyle w:val="BodyText"/>
      </w:pPr>
      <w:r>
        <w:t xml:space="preserve">В связи с большим количеством перенесённых поверок и во избежание увеличения сроков регистрации поверочных документов,</w:t>
      </w:r>
      <w:r>
        <w:t xml:space="preserve"> </w:t>
      </w:r>
      <w:r>
        <w:rPr>
          <w:u w:val="single"/>
        </w:rPr>
        <w:t xml:space="preserve">рекомендуем сделать поверку заблаговременно</w:t>
      </w:r>
      <w:r>
        <w:t xml:space="preserve">. </w:t>
      </w:r>
    </w:p>
    <w:p>
      <w:pPr>
        <w:pStyle w:val="BodyText"/>
      </w:pPr>
      <w:r>
        <w:t xml:space="preserve">Уведомляем, что для предвосхищения последствий, связанных с действиями или бездействием третьих лиц, выступающих в роли частных поверочных компаний, поверочную документацию дополнительно следует направлять в ГБУ Жилищник в Отдел учёта энергоресурсов по адресу Никулинская 12к.3 или через</w:t>
      </w:r>
      <w:r>
        <w:t xml:space="preserve"> </w:t>
      </w:r>
      <w:hyperlink r:id="rId21">
        <w:r>
          <w:rPr>
            <w:rStyle w:val="Hyperlink"/>
          </w:rPr>
          <w:t xml:space="preserve">электронную приёмную</w:t>
        </w:r>
      </w:hyperlink>
      <w:r>
        <w:t xml:space="preserve">, или по </w:t>
      </w:r>
      <w:hyperlink r:id="rId22">
        <w:r>
          <w:rPr>
            <w:rStyle w:val="Hyperlink"/>
          </w:rPr>
          <w:t xml:space="preserve">электронной почте</w:t>
        </w:r>
      </w:hyperlink>
      <w:r>
        <w:t xml:space="preserve">. Со списком необходимых документов можно ознакомиться </w:t>
      </w:r>
      <w:hyperlink r:id="rId23">
        <w:r>
          <w:rPr>
            <w:rStyle w:val="Hyperlink"/>
            <w:bCs/>
            <w:b/>
          </w:rPr>
          <w:t xml:space="preserve">тут</w:t>
        </w:r>
      </w:hyperlink>
      <w:r>
        <w:t xml:space="preserve">.</w:t>
      </w:r>
    </w:p>
    <w:p>
      <w:pPr>
        <w:pStyle w:val="BodyText"/>
      </w:pPr>
      <w:r>
        <w:t xml:space="preserve">Уточнить дату проведения очередной метрологической поверки можно в верхней части текущего Единого Платёжного Документа (квитанции об оплате коммунальных услуг). Либо на портале</w:t>
      </w:r>
      <w:r>
        <w:t xml:space="preserve"> </w:t>
      </w:r>
      <w:hyperlink r:id="rId24">
        <w:r>
          <w:rPr>
            <w:rStyle w:val="Hyperlink"/>
          </w:rPr>
          <w:t xml:space="preserve">mos.ru</w:t>
        </w:r>
      </w:hyperlink>
    </w:p>
    <w:p>
      <w:pPr>
        <w:pStyle w:val="BodyText"/>
      </w:pPr>
      <w:r>
        <w:t xml:space="preserve">В случае неисправности ИПУ или истечения срока его поверки, расчёты по учёту расхода воды по ИПУ приостанавливаются (пп. «а» п. 59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РФ от 06.05.2011 г. № 354), перерасчёт за период произведения начислений по среднему или ОДПУ не делается.</w:t>
      </w:r>
    </w:p>
    <w:p>
      <w:pPr>
        <w:pStyle w:val="BodyText"/>
      </w:pPr>
      <w:r>
        <w:t xml:space="preserve">Информируем, что с 24.09.2020 вступил в силу</w:t>
      </w:r>
      <w:r>
        <w:t xml:space="preserve"> </w:t>
      </w:r>
      <w:hyperlink r:id="rId25">
        <w:r>
          <w:rPr>
            <w:rStyle w:val="Hyperlink"/>
          </w:rPr>
          <w:t xml:space="preserve">Федеральный закон от 27 декабря 2019 г. N 496-ФЗ "О внесении изменений в Федеральный закон "Об обеспечении единства измерений"</w:t>
        </w:r>
      </w:hyperlink>
      <w:r>
        <w:t xml:space="preserve">, в соответствии с которым данные о результатах метрологической поверки вносятся</w:t>
      </w:r>
      <w:r>
        <w:t xml:space="preserve"> </w:t>
      </w:r>
      <w:r>
        <w:rPr>
          <w:bCs/>
          <w:b/>
          <w:u w:val="single"/>
        </w:rPr>
        <w:t xml:space="preserve">только аккредитованными компаниями</w:t>
      </w:r>
      <w:r>
        <w:t xml:space="preserve"> </w:t>
      </w:r>
      <w:r>
        <w:t xml:space="preserve">в</w:t>
      </w:r>
      <w:r>
        <w:t xml:space="preserve"> </w:t>
      </w:r>
      <w:hyperlink r:id="rId26">
        <w:r>
          <w:rPr>
            <w:rStyle w:val="Hyperlink"/>
          </w:rPr>
          <w:t xml:space="preserve">Федеральную Государственную Информационную Систему Росстандарта</w:t>
        </w:r>
      </w:hyperlink>
      <w:r>
        <w:t xml:space="preserve"> </w:t>
      </w:r>
      <w:r>
        <w:t xml:space="preserve">(подраздел метрологии ФГИС «АРШИН»).</w:t>
      </w:r>
    </w:p>
    <w:p>
      <w:pPr>
        <w:pStyle w:val="BodyText"/>
      </w:pPr>
      <w:r>
        <w:t xml:space="preserve">Может быть полезно: </w:t>
      </w:r>
    </w:p>
    <w:p>
      <w:pPr>
        <w:numPr>
          <w:ilvl w:val="0"/>
          <w:numId w:val="1001"/>
        </w:numPr>
        <w:pStyle w:val="Compact"/>
      </w:pPr>
      <w:hyperlink r:id="rId27">
        <w:r>
          <w:rPr>
            <w:rStyle w:val="Hyperlink"/>
          </w:rPr>
          <w:t xml:space="preserve">Перечень аккредитованных поверочных организаций</w:t>
        </w:r>
      </w:hyperlink>
    </w:p>
    <w:p>
      <w:pPr>
        <w:numPr>
          <w:ilvl w:val="0"/>
          <w:numId w:val="1001"/>
        </w:numPr>
        <w:pStyle w:val="Compact"/>
      </w:pPr>
      <w:hyperlink r:id="rId28">
        <w:r>
          <w:rPr>
            <w:rStyle w:val="Hyperlink"/>
          </w:rPr>
          <w:t xml:space="preserve">График приёма документов о поверке индивидуальных приборов учёта</w:t>
        </w:r>
      </w:hyperlink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t xml:space="preserve">По всем возникающим вопросам, как и прежде, Вы всегда можете обратиться к нам через</w:t>
      </w:r>
      <w:r>
        <w:t xml:space="preserve"> </w:t>
      </w:r>
      <w:hyperlink r:id="rId21">
        <w:r>
          <w:rPr>
            <w:rStyle w:val="Hyperlink"/>
          </w:rPr>
          <w:t xml:space="preserve">электронную приёмную</w:t>
        </w:r>
      </w:hyperlink>
      <w:r>
        <w:t xml:space="preserve"> или </w:t>
      </w:r>
      <w:hyperlink r:id="rId22">
        <w:r>
          <w:rPr>
            <w:rStyle w:val="Hyperlink"/>
          </w:rPr>
          <w:t xml:space="preserve">электронную почту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http://zhilishnik-tn.mos.ru/presscenter/news/detail/9465281.html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ГБУ Жилищник Тропарево-Никулино г.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energy-resources/424-PP.pdf" TargetMode="External" /><Relationship Type="http://schemas.openxmlformats.org/officeDocument/2006/relationships/hyperlink" Id="rId25" Target="/energy-resources/496-FZ.pdf" TargetMode="External" /><Relationship Type="http://schemas.openxmlformats.org/officeDocument/2006/relationships/hyperlink" Id="rId30" Target="http://zhilishnik-tn.mos.ru" TargetMode="External" /><Relationship Type="http://schemas.openxmlformats.org/officeDocument/2006/relationships/hyperlink" Id="rId29" Target="http://zhilishnik-tn.mos.ru/presscenter/news/detail/9465281.html" TargetMode="External" /><Relationship Type="http://schemas.openxmlformats.org/officeDocument/2006/relationships/hyperlink" Id="rId26" Target="https://fgis.gost.ru/" TargetMode="External" /><Relationship Type="http://schemas.openxmlformats.org/officeDocument/2006/relationships/hyperlink" Id="rId24" Target="https://www.mos.ru/" TargetMode="External" /><Relationship Type="http://schemas.openxmlformats.org/officeDocument/2006/relationships/hyperlink" Id="rId27" Target="https://zhilishnik-tn.mos.ru/energy-resources/reestr-poverochnykh-kompaniy.php" TargetMode="External" /><Relationship Type="http://schemas.openxmlformats.org/officeDocument/2006/relationships/hyperlink" Id="rId23" Target="https://zhilishnik-tn.mos.ru/presscenter/news/detail/9335854.html" TargetMode="External" /><Relationship Type="http://schemas.openxmlformats.org/officeDocument/2006/relationships/hyperlink" Id="rId28" Target="https://zhilishnik-tn.mos.ru/presscenter/news/detail/9685585.html" TargetMode="External" /><Relationship Type="http://schemas.openxmlformats.org/officeDocument/2006/relationships/hyperlink" Id="rId21" Target="https://zhilishnik-tn.mos.ru/reception/" TargetMode="External" /><Relationship Type="http://schemas.openxmlformats.org/officeDocument/2006/relationships/hyperlink" Id="rId22" Target="mailto:info@zhilishnik-tn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energy-resources/424-PP.pdf" TargetMode="External" /><Relationship Type="http://schemas.openxmlformats.org/officeDocument/2006/relationships/hyperlink" Id="rId25" Target="/energy-resources/496-FZ.pdf" TargetMode="External" /><Relationship Type="http://schemas.openxmlformats.org/officeDocument/2006/relationships/hyperlink" Id="rId30" Target="http://zhilishnik-tn.mos.ru" TargetMode="External" /><Relationship Type="http://schemas.openxmlformats.org/officeDocument/2006/relationships/hyperlink" Id="rId29" Target="http://zhilishnik-tn.mos.ru/presscenter/news/detail/9465281.html" TargetMode="External" /><Relationship Type="http://schemas.openxmlformats.org/officeDocument/2006/relationships/hyperlink" Id="rId26" Target="https://fgis.gost.ru/" TargetMode="External" /><Relationship Type="http://schemas.openxmlformats.org/officeDocument/2006/relationships/hyperlink" Id="rId24" Target="https://www.mos.ru/" TargetMode="External" /><Relationship Type="http://schemas.openxmlformats.org/officeDocument/2006/relationships/hyperlink" Id="rId27" Target="https://zhilishnik-tn.mos.ru/energy-resources/reestr-poverochnykh-kompaniy.php" TargetMode="External" /><Relationship Type="http://schemas.openxmlformats.org/officeDocument/2006/relationships/hyperlink" Id="rId23" Target="https://zhilishnik-tn.mos.ru/presscenter/news/detail/9335854.html" TargetMode="External" /><Relationship Type="http://schemas.openxmlformats.org/officeDocument/2006/relationships/hyperlink" Id="rId28" Target="https://zhilishnik-tn.mos.ru/presscenter/news/detail/9685585.html" TargetMode="External" /><Relationship Type="http://schemas.openxmlformats.org/officeDocument/2006/relationships/hyperlink" Id="rId21" Target="https://zhilishnik-tn.mos.ru/reception/" TargetMode="External" /><Relationship Type="http://schemas.openxmlformats.org/officeDocument/2006/relationships/hyperlink" Id="rId22" Target="mailto:info@zhilishnik-tn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2025-07-30T10:24:50Z</dcterms:created>
  <dcterms:modified xsi:type="dcterms:W3CDTF">2025-07-30T10:24:50Z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